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«АКТУАЛЬНЫЕ ВОПРОСЫ ПОДРОСТКОВОЙ МЕДИЦИНЫ»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вопросы подростковой медицины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Актуальные аспекты состояния здоровья подростков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Внезапная смерть в спорте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кардиология у подростков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исследования функционального состояния сердечно-сосудистой системы у подростков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8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Диспансеризация и реабилитация подростков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627518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table" w:styleId="14" w:customStyle="1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0" w:customStyle="1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20" w:customStyle="1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A843E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0XNWPjHBIOKTGkQh1+ymOTpoaQ==">AMUW2mXcJ8l1gM939HL0R1Jew7iBswrqmEV6lBhz3astIUypfNKi/nUdDLhO9UGlfJYBkBAU71mqhgUeVuKOpEsPPTkBQuYGQkb+wDpklTkqMENc/qkrPZQ=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