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«ЭКСТРАКОРПОРАЛЬНАЯ МЕМБРАННАЯ ОКСИГЕНАЦИЯ»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Физиологические аспекты экстракорпоральной мембранной оксигенации (ЭКМО)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и основы проведения ЭКМО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Вено-артериальная экстракорпоральная мембранная оксигенация (ВА ЭКМО)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Вено-венозная экстракорпоральная мембранная оксигенация (ВВ ЭКМО)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Вено-артерио-венозная экстракорпоральная мембранная оксигенация (ВАВ ЭКМО)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Самопоточная артерио-венозная экстракорпоральная мембранная оксигенация (АВ ЭКМО)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4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table" w:styleId="14" w:customStyle="1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0" w:customStyle="1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20" w:customStyle="1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f6">
    <w:name w:val="Unresolved Mention"/>
    <w:basedOn w:val="a0"/>
    <w:uiPriority w:val="99"/>
    <w:semiHidden w:val="1"/>
    <w:unhideWhenUsed w:val="1"/>
    <w:rsid w:val="00CD482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rDbmQsZZ7GwVxDKpBPPjjhqMvQ==">AMUW2mXldsW00iaUUG7sIX/8AMA4m28ALYbCTMn8ZJD6U7G4GCtbQi9r46HLgq7Jib4LNyWIN0DkSkzlzQbQKa/JyJghEma6ktl42223RRu/4Uq5x4sobp4=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