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2E" w:rsidRPr="00675D2B" w:rsidRDefault="002D252E" w:rsidP="002D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УЧЕБНЫЙ ПЛАН</w:t>
      </w:r>
    </w:p>
    <w:p w:rsidR="002D252E" w:rsidRDefault="002D252E" w:rsidP="002D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D2B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программы</w:t>
      </w:r>
      <w:r w:rsidRPr="00675D2B">
        <w:rPr>
          <w:rFonts w:ascii="Times New Roman" w:hAnsi="Times New Roman"/>
          <w:sz w:val="28"/>
          <w:szCs w:val="28"/>
        </w:rPr>
        <w:t xml:space="preserve"> профессиональной переподготовки врачей по специальности </w:t>
      </w:r>
    </w:p>
    <w:p w:rsidR="002D252E" w:rsidRPr="00B9641D" w:rsidRDefault="002D252E" w:rsidP="002D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41D">
        <w:rPr>
          <w:rFonts w:ascii="Times New Roman" w:hAnsi="Times New Roman"/>
          <w:b/>
          <w:sz w:val="28"/>
          <w:szCs w:val="28"/>
        </w:rPr>
        <w:t>«Медико-социальная экспертиза»</w:t>
      </w:r>
    </w:p>
    <w:p w:rsidR="002D252E" w:rsidRDefault="002D252E" w:rsidP="002D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F23">
        <w:rPr>
          <w:rFonts w:ascii="Times New Roman" w:hAnsi="Times New Roman"/>
          <w:sz w:val="28"/>
          <w:szCs w:val="28"/>
        </w:rPr>
        <w:t>(срок обучения 576 академических часов)</w:t>
      </w:r>
    </w:p>
    <w:p w:rsidR="002D252E" w:rsidRPr="00CF6DB6" w:rsidRDefault="002D252E" w:rsidP="002D2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52E" w:rsidRDefault="002D252E" w:rsidP="00B9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>
        <w:rPr>
          <w:rFonts w:ascii="Times New Roman" w:hAnsi="Times New Roman"/>
          <w:sz w:val="28"/>
          <w:szCs w:val="28"/>
        </w:rPr>
        <w:t xml:space="preserve">льных компетенций врача </w:t>
      </w:r>
      <w:r w:rsidRPr="003017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медико</w:t>
      </w:r>
      <w:r w:rsidRPr="003017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социального эксперта</w:t>
      </w:r>
      <w:r w:rsidRPr="00A97C1B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</w:t>
      </w:r>
      <w:r>
        <w:rPr>
          <w:rFonts w:ascii="Times New Roman" w:hAnsi="Times New Roman"/>
          <w:sz w:val="28"/>
          <w:szCs w:val="28"/>
        </w:rPr>
        <w:t>ную деятельность врача</w:t>
      </w:r>
    </w:p>
    <w:p w:rsidR="002D252E" w:rsidRDefault="002D252E" w:rsidP="00B9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Категория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39F">
        <w:rPr>
          <w:rFonts w:ascii="Times New Roman" w:hAnsi="Times New Roman"/>
          <w:sz w:val="28"/>
          <w:szCs w:val="28"/>
        </w:rPr>
        <w:t>врачи, имеющие высшее профессиональное образование по одной из специальностей: «</w:t>
      </w:r>
      <w:r>
        <w:rPr>
          <w:rFonts w:ascii="Times New Roman" w:hAnsi="Times New Roman"/>
          <w:sz w:val="28"/>
          <w:szCs w:val="28"/>
        </w:rPr>
        <w:t xml:space="preserve">060101 </w:t>
      </w:r>
      <w:r w:rsidRPr="0032039F">
        <w:rPr>
          <w:rFonts w:ascii="Times New Roman" w:hAnsi="Times New Roman"/>
          <w:sz w:val="28"/>
          <w:szCs w:val="28"/>
        </w:rPr>
        <w:t>Лечебное дело», «</w:t>
      </w:r>
      <w:r>
        <w:rPr>
          <w:rFonts w:ascii="Times New Roman" w:hAnsi="Times New Roman"/>
          <w:sz w:val="28"/>
          <w:szCs w:val="28"/>
        </w:rPr>
        <w:t xml:space="preserve">060103 </w:t>
      </w:r>
      <w:r w:rsidRPr="0032039F">
        <w:rPr>
          <w:rFonts w:ascii="Times New Roman" w:hAnsi="Times New Roman"/>
          <w:sz w:val="28"/>
          <w:szCs w:val="28"/>
        </w:rPr>
        <w:t xml:space="preserve">Педиатрия», а также при наличии послевузовского профессионального образования по одной из специальностей: </w:t>
      </w:r>
      <w:r>
        <w:rPr>
          <w:rFonts w:ascii="Times New Roman" w:hAnsi="Times New Roman"/>
          <w:sz w:val="28"/>
          <w:szCs w:val="28"/>
        </w:rPr>
        <w:t xml:space="preserve">«Детская хирургия», «Хирургия», «Неврология», «Онкология», «Оториноларингология», «Офтальмология», «Педиатрия», «Психиатрия», </w:t>
      </w:r>
      <w:r w:rsidRPr="0032039F">
        <w:rPr>
          <w:rFonts w:ascii="Times New Roman" w:hAnsi="Times New Roman"/>
          <w:sz w:val="28"/>
          <w:szCs w:val="28"/>
        </w:rPr>
        <w:t xml:space="preserve">«Терапия», </w:t>
      </w:r>
      <w:r>
        <w:rPr>
          <w:rFonts w:ascii="Times New Roman" w:hAnsi="Times New Roman"/>
          <w:sz w:val="28"/>
          <w:szCs w:val="28"/>
        </w:rPr>
        <w:t xml:space="preserve"> «Травматология и ортопедия», «Фтизиатрия», «Эндокринология» </w:t>
      </w:r>
      <w:r w:rsidRPr="0032039F">
        <w:rPr>
          <w:rFonts w:ascii="Times New Roman" w:hAnsi="Times New Roman"/>
          <w:sz w:val="28"/>
          <w:szCs w:val="28"/>
        </w:rPr>
        <w:t xml:space="preserve"> или стаж работы по специальности «</w:t>
      </w:r>
      <w:r>
        <w:rPr>
          <w:rFonts w:ascii="Times New Roman" w:hAnsi="Times New Roman"/>
          <w:sz w:val="28"/>
          <w:szCs w:val="28"/>
        </w:rPr>
        <w:t>М</w:t>
      </w:r>
      <w:r w:rsidRPr="0032039F">
        <w:rPr>
          <w:rFonts w:ascii="Times New Roman" w:hAnsi="Times New Roman"/>
          <w:sz w:val="28"/>
          <w:szCs w:val="28"/>
        </w:rPr>
        <w:t>едико-социальная экспертиза» от 5 до 10 лет</w:t>
      </w:r>
      <w:r>
        <w:rPr>
          <w:rFonts w:ascii="Times New Roman" w:hAnsi="Times New Roman"/>
          <w:sz w:val="28"/>
          <w:szCs w:val="28"/>
        </w:rPr>
        <w:t>.</w:t>
      </w:r>
    </w:p>
    <w:p w:rsidR="002D252E" w:rsidRDefault="002D252E" w:rsidP="00B9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</w:t>
      </w:r>
    </w:p>
    <w:p w:rsidR="002D252E" w:rsidRDefault="002D252E" w:rsidP="002D252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86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750"/>
        <w:gridCol w:w="992"/>
        <w:gridCol w:w="2127"/>
      </w:tblGrid>
      <w:tr w:rsidR="002D252E" w:rsidRPr="00675D2B" w:rsidTr="002D252E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0" w:type="dxa"/>
            <w:vMerge w:val="restart"/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27" w:type="dxa"/>
            <w:vMerge w:val="restart"/>
            <w:tcMar>
              <w:left w:w="0" w:type="dxa"/>
              <w:right w:w="0" w:type="dxa"/>
            </w:tcMar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2D252E" w:rsidRPr="00675D2B" w:rsidTr="002D252E">
        <w:trPr>
          <w:cantSplit/>
          <w:trHeight w:val="1134"/>
          <w:tblHeader/>
        </w:trPr>
        <w:tc>
          <w:tcPr>
            <w:tcW w:w="993" w:type="dxa"/>
            <w:vMerge/>
          </w:tcPr>
          <w:p w:rsidR="002D252E" w:rsidRPr="00675D2B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2D252E" w:rsidRPr="00675D2B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2D252E" w:rsidRPr="005E2272" w:rsidRDefault="002D252E" w:rsidP="002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Правовые основы здравоохранения РФ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Правовая база обязательного медицинского страхования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Базовая программа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Законодательство в области медицинских исков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и планирование здравоохранения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left="14"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Методы воздействия в в процессе управления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D252E" w:rsidRPr="005E2272" w:rsidRDefault="002D252E" w:rsidP="002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Молекулярные основы защитных реакций организма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наследственных болезней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Биохимические основы болезней органов дыхания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rPr>
          <w:trHeight w:val="1371"/>
        </w:trPr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Молекулярные основы патогенеза сердечно-сосудистых заболеваний</w:t>
            </w:r>
            <w:r w:rsidR="00B9641D" w:rsidRPr="005E22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Микроскопическое исследование секционного и биопсийного материала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 xml:space="preserve">Общие принципы патологоанатомической </w:t>
            </w: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диагностики и ее значение для клинической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медицины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 xml:space="preserve">Учение о болезни и патологических процессах                                    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pStyle w:val="310"/>
              <w:suppressAutoHyphens w:val="0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E2272">
              <w:rPr>
                <w:sz w:val="24"/>
                <w:szCs w:val="24"/>
              </w:rPr>
              <w:t>Морфологические проявления нарушений крово- и лимфообращения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Основы социальной гигиены и организация медико-социальной экспертизы в России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2D252E" w:rsidRPr="005E2272" w:rsidRDefault="002D252E" w:rsidP="002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Теоретические основы социальной гигиены и общественного здоровья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Организационные основы медико-социальной экспертизы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Процедура, порядок, условия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Медицинская этика и деонтология в медико-социальной экспертизе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sz w:val="24"/>
              </w:rPr>
            </w:pPr>
            <w:r w:rsidRPr="005E2272"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line="235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Правовые основы судебной медико-социальной экспертизы и судебно-экспертной деятельности в учреждениях медико-социальной экспертизы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sz w:val="24"/>
              </w:rPr>
            </w:pPr>
            <w:r w:rsidRPr="005E2272"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  <w:rPr>
                <w:color w:val="000000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line="23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основы медико-социальной экспертизы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Основы экспертно-реабилитационной диагностики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Реабилитационная деятельность учреждений медико-социальной экспертизы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Индивидуальная программа реабилитации инвалида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line="238" w:lineRule="auto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5.4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Реабилитационные учреждения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Технические средства реабилитации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организационно-методические основы медико-социальной экспертизы и реабилитации инвалидов при основных инвалидизирующих заболеваниях внутренних органов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сердца и сосудов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органов дыхания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органов пищеварения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почек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полиартропатиях и системных поражениях соединительной ткани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крови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болезнях нервной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сосудистых заболеваний головного мозга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lastRenderedPageBreak/>
              <w:t>вследствие сосудистых заболеваний спинного мозга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7.3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инфекционных заболеваний нервной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черепно-мозговой травмы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травмы спинного мозга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демиелинизирующих заболеваний нервной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сирингомиелии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</w:rPr>
              <w:t>вследствие опухолей головного мозга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вследствие опухолей спинного мозга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вследствие заболеваний периферической нервной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вследствие остеохондроза позвоночника с неврологическими проявлениями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 xml:space="preserve">вследствие наследственных нервно-мышечных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вследствие заболеваний вегетативной нервной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вследствие детского церебрального паралича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хирургических болезнях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после</w:t>
            </w:r>
            <w:r w:rsidRPr="005E2272">
              <w:rPr>
                <w:rFonts w:ascii="Times New Roman" w:hAnsi="Times New Roman"/>
                <w:sz w:val="24"/>
              </w:rPr>
              <w:t xml:space="preserve"> реконструктивных операций  по поводу язвенной болезни желудка и двенадцатиперстной кишки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5E2272">
              <w:rPr>
                <w:rFonts w:ascii="Times New Roman" w:hAnsi="Times New Roman"/>
                <w:sz w:val="24"/>
              </w:rPr>
              <w:t xml:space="preserve"> вследствие  резекции поджелудочной железы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5E2272">
              <w:rPr>
                <w:rFonts w:ascii="Times New Roman" w:hAnsi="Times New Roman"/>
                <w:sz w:val="24"/>
              </w:rPr>
              <w:t xml:space="preserve"> вследствие постхолецистэктомического синдрома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5E2272">
              <w:rPr>
                <w:rFonts w:ascii="Times New Roman" w:hAnsi="Times New Roman"/>
                <w:sz w:val="24"/>
              </w:rPr>
              <w:t xml:space="preserve"> при кишечных свищах, анальной трещине, выпадении прямой кишки, грыжах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</w:t>
            </w:r>
            <w:r w:rsidRPr="005E2272">
              <w:rPr>
                <w:rFonts w:ascii="Times New Roman" w:hAnsi="Times New Roman"/>
                <w:sz w:val="24"/>
              </w:rPr>
              <w:t xml:space="preserve"> при облитерирующем атеросклерозе артерий нижних конечностей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заболеваниях и последствиях травм опорно-двигательного аппарата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9.1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Методы исследования ходьбы человека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культях конечностей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дорсопатиях и спондилопатиях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последствиях травматических повреждений конечностей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последствиях травм позвоночника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Современные аспекты организации протезно-ортопедической помощи населению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онкологических заболеваниях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головы и шеи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органов грудной клетки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органов пищеварения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забрюшинных внеорганных опухолях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мочеполовой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10.6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опухолях кожи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опухолях костно-мышечной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опухолях кроветворной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опухолях молочной железы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личностных расстройствах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шизофрении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органических психических расстройствах различного генеза (черепно-мозговая травма, нейроинфекция,  сосудистые нарушения,  токсические поражения  головного мозга)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Особенности медико-социальной экспертизы и реабилитации инвалидов вследствие  атрофических поражений головного мозга (болезнь Альцгеймера, болезнь Пика и др.)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эпилепсии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психопатии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умственной отсталости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пограничных психических расстройствах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Соматизированное психическое расстройство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болезнях эндокринной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сахарном диабете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щитовидной железы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5E2272">
              <w:rPr>
                <w:rFonts w:ascii="Times New Roman" w:hAnsi="Times New Roman"/>
                <w:sz w:val="24"/>
              </w:rPr>
              <w:t>аболеваниях гипоталамо-гипофизарной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5E2272">
              <w:rPr>
                <w:rFonts w:ascii="Times New Roman" w:hAnsi="Times New Roman"/>
                <w:sz w:val="24"/>
              </w:rPr>
              <w:t>аболеваниях надпочечников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5E2272">
              <w:rPr>
                <w:rFonts w:ascii="Times New Roman" w:hAnsi="Times New Roman"/>
                <w:sz w:val="24"/>
              </w:rPr>
              <w:t>аболеваниях околощитовидных желез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аболеваниях женских половых желез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sz w:val="24"/>
              </w:rPr>
            </w:pPr>
            <w:r w:rsidRPr="005E2272"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аболеваниях мужских половых желез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sz w:val="24"/>
              </w:rPr>
            </w:pPr>
            <w:r w:rsidRPr="005E2272"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с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индроме полигландулярной недостаточности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sz w:val="24"/>
              </w:rPr>
            </w:pPr>
            <w:r w:rsidRPr="005E2272"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12.9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ожирении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основных инвалидизирующих глазных болезнях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Современные методы оценки функционального состояния зрительного анализатора в экспертной практике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</w:rPr>
              <w:t>повреждениях органа зрения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роговицы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болезнях хрусталика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Клинико-функциональные особенности, медико-социальная экспертиза и реабилитация инвалидов при глаукоме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з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рительных расстройствах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н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арушениях рефракции и аккомодации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заболеваниях сосудистой оболочки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болезнях сетчатки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атрофии зрительного нерва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тапето-ретинальных абиотрофиях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сосудистой патологии органа зрения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внутриглазных опухолях и   новообразованиях орбиты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врожденных аномалиях органа зрения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 xml:space="preserve">Теоретические и организационно методические основы медико-социальной экспертизы  и реабилитации инвалидов при основных инвалидизирующих заболеваниях </w:t>
            </w: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ЛОР-органов</w:t>
            </w:r>
            <w:r w:rsidRPr="005E227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Физиология и методы исследования ЛОР-органов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pStyle w:val="afb"/>
              <w:snapToGrid w:val="0"/>
              <w:ind w:left="0"/>
              <w:jc w:val="both"/>
            </w:pPr>
            <w:r w:rsidRPr="005E2272">
              <w:t>Общие вопросы фониатрии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pStyle w:val="afb"/>
              <w:snapToGrid w:val="0"/>
              <w:ind w:left="0"/>
              <w:jc w:val="both"/>
            </w:pPr>
            <w:r w:rsidRPr="005E2272">
              <w:t>Отоневрология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</w:rPr>
              <w:t>болезнях уха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 xml:space="preserve"> болезнях гортани, и трахеи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 xml:space="preserve"> опухолях  верхних дыхательных путей и уха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 xml:space="preserve"> опухолях  глотки и  внеорганных опухолях  шеи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</w:t>
            </w: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 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производственном травматизме ЛОР-органов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14.9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 xml:space="preserve">Клинико-функциональные особенности, медико-социальная экспертиза и реабилитация инвалидов при  </w:t>
            </w:r>
            <w:r w:rsidRPr="005E2272">
              <w:rPr>
                <w:rFonts w:ascii="Times New Roman" w:hAnsi="Times New Roman"/>
                <w:sz w:val="24"/>
                <w:szCs w:val="24"/>
              </w:rPr>
              <w:t>профессиональных заболеваниях уха и верхних дыхательных путей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 заболеваниях вестибулярного аппарата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и реабилитации инвалидов при туберкулезе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Вопросы организации фтизиатрической службы в России</w:t>
            </w:r>
            <w:r w:rsidRPr="005E227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</w:rPr>
              <w:t>туберкулезе органов дыхания</w:t>
            </w:r>
          </w:p>
          <w:p w:rsidR="002D252E" w:rsidRPr="005E2272" w:rsidRDefault="002D252E" w:rsidP="00B9641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</w:rPr>
              <w:t>туберкулезе органов дыхания, комбинированного с профессиональными пылевыми заболеваниями легких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 xml:space="preserve">Клинико-функциональные особенности, медико-социальная экспертиза и реабилитация инвалидов при </w:t>
            </w:r>
            <w:r w:rsidRPr="005E2272">
              <w:rPr>
                <w:rFonts w:ascii="Times New Roman" w:hAnsi="Times New Roman"/>
                <w:sz w:val="24"/>
              </w:rPr>
              <w:t>туберкулезе мозговых оболочек и центральной нервной системы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Теоретические и организационно методические основы медико-социальной экспертизы  детей и подростков и реабилитации детей-инвалидов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Организационно - правовые вопросы медико-социальной экспертизы детей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16.2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E2272">
              <w:rPr>
                <w:rFonts w:ascii="Times New Roman" w:hAnsi="Times New Roman"/>
                <w:bCs/>
                <w:sz w:val="24"/>
              </w:rPr>
              <w:t>Организационно - правовые вопросы медико-социальной реабилитации детей – инвалидов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5E227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Медицинская статистика и показатели здоровья</w:t>
            </w:r>
            <w:r w:rsidRPr="005E2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22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Предмет медицинской статистики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Статистические методы в оценке показателей здоровья населения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Инвалидность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качества медицинской помощи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Модели обеспечения качества медицинской помощи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Показатели, оценка и контроль качества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Совершенствование качества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Медицина основанная на доказательствах.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2272">
              <w:rPr>
                <w:rFonts w:ascii="Times New Roman" w:hAnsi="Times New Roman"/>
                <w:b/>
                <w:sz w:val="24"/>
              </w:rPr>
              <w:t>Современные особенности организации здравоохранения России</w:t>
            </w:r>
            <w:r w:rsidRPr="005E22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Основы социальной гигиены и организации здравоохранения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задачи здравоохранения на современном этапе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этика и деонтология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психология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5E2272" w:rsidTr="002D252E">
        <w:tc>
          <w:tcPr>
            <w:tcW w:w="993" w:type="dxa"/>
          </w:tcPr>
          <w:p w:rsidR="002D252E" w:rsidRPr="005E2272" w:rsidRDefault="002D252E" w:rsidP="00B964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5750" w:type="dxa"/>
          </w:tcPr>
          <w:p w:rsidR="002D252E" w:rsidRPr="005E2272" w:rsidRDefault="002D252E" w:rsidP="00B9641D">
            <w:pPr>
              <w:snapToGrid w:val="0"/>
              <w:ind w:right="-346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Общественное здоровье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252E" w:rsidRPr="005E2272" w:rsidRDefault="002D252E" w:rsidP="00B9641D">
            <w:pPr>
              <w:jc w:val="center"/>
            </w:pPr>
          </w:p>
        </w:tc>
      </w:tr>
      <w:tr w:rsidR="002D252E" w:rsidRPr="00675D2B" w:rsidTr="002D252E">
        <w:tc>
          <w:tcPr>
            <w:tcW w:w="6743" w:type="dxa"/>
            <w:gridSpan w:val="2"/>
          </w:tcPr>
          <w:p w:rsidR="002D252E" w:rsidRPr="005E2272" w:rsidRDefault="002D252E" w:rsidP="00B964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2D252E" w:rsidRPr="005E2272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D252E" w:rsidRPr="00675D2B" w:rsidRDefault="002D252E" w:rsidP="00B9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940050" w:rsidRDefault="00940050">
      <w:bookmarkStart w:id="0" w:name="_GoBack"/>
      <w:bookmarkEnd w:id="0"/>
    </w:p>
    <w:sectPr w:rsidR="00940050" w:rsidSect="005E22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69" w:rsidRDefault="00C74669" w:rsidP="002D252E">
      <w:pPr>
        <w:spacing w:after="0" w:line="240" w:lineRule="auto"/>
      </w:pPr>
      <w:r>
        <w:separator/>
      </w:r>
    </w:p>
  </w:endnote>
  <w:endnote w:type="continuationSeparator" w:id="0">
    <w:p w:rsidR="00C74669" w:rsidRDefault="00C74669" w:rsidP="002D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69" w:rsidRDefault="00C74669" w:rsidP="002D252E">
      <w:pPr>
        <w:spacing w:after="0" w:line="240" w:lineRule="auto"/>
      </w:pPr>
      <w:r>
        <w:separator/>
      </w:r>
    </w:p>
  </w:footnote>
  <w:footnote w:type="continuationSeparator" w:id="0">
    <w:p w:rsidR="00C74669" w:rsidRDefault="00C74669" w:rsidP="002D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  <w:b w:val="0"/>
      </w:rPr>
    </w:lvl>
  </w:abstractNum>
  <w:abstractNum w:abstractNumId="4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5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</w:rPr>
    </w:lvl>
  </w:abstractNum>
  <w:abstractNum w:abstractNumId="6" w15:restartNumberingAfterBreak="0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413379"/>
    <w:multiLevelType w:val="multilevel"/>
    <w:tmpl w:val="BF7479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9551FC"/>
    <w:multiLevelType w:val="hybridMultilevel"/>
    <w:tmpl w:val="CC7653A8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38A4"/>
    <w:multiLevelType w:val="hybridMultilevel"/>
    <w:tmpl w:val="2A569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9B002D"/>
    <w:multiLevelType w:val="hybridMultilevel"/>
    <w:tmpl w:val="D85857FE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41F05E21"/>
    <w:multiLevelType w:val="multilevel"/>
    <w:tmpl w:val="D29639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2E74"/>
    <w:multiLevelType w:val="hybridMultilevel"/>
    <w:tmpl w:val="AA98F9A8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2F02"/>
    <w:multiLevelType w:val="hybridMultilevel"/>
    <w:tmpl w:val="2C42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A31E1"/>
    <w:multiLevelType w:val="multilevel"/>
    <w:tmpl w:val="D47AEA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B7E00"/>
    <w:multiLevelType w:val="hybridMultilevel"/>
    <w:tmpl w:val="3D567C3A"/>
    <w:lvl w:ilvl="0" w:tplc="F692FE7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6724B"/>
    <w:multiLevelType w:val="hybridMultilevel"/>
    <w:tmpl w:val="45EE0E48"/>
    <w:lvl w:ilvl="0" w:tplc="555AC852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8" w15:restartNumberingAfterBreak="0">
    <w:nsid w:val="685C67F0"/>
    <w:multiLevelType w:val="hybridMultilevel"/>
    <w:tmpl w:val="6BFAF416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55C49"/>
    <w:multiLevelType w:val="hybridMultilevel"/>
    <w:tmpl w:val="5F98D10C"/>
    <w:lvl w:ilvl="0" w:tplc="F88CC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1C8A"/>
    <w:multiLevelType w:val="hybridMultilevel"/>
    <w:tmpl w:val="3EDE2698"/>
    <w:lvl w:ilvl="0" w:tplc="F88CC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34267"/>
    <w:multiLevelType w:val="hybridMultilevel"/>
    <w:tmpl w:val="C60E812A"/>
    <w:lvl w:ilvl="0" w:tplc="9AF66E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23434"/>
    <w:multiLevelType w:val="hybridMultilevel"/>
    <w:tmpl w:val="DB5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755A8"/>
    <w:multiLevelType w:val="hybridMultilevel"/>
    <w:tmpl w:val="B1E095D0"/>
    <w:lvl w:ilvl="0" w:tplc="1ED078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"/>
  </w:num>
  <w:num w:numId="4">
    <w:abstractNumId w:val="4"/>
  </w:num>
  <w:num w:numId="5">
    <w:abstractNumId w:val="39"/>
  </w:num>
  <w:num w:numId="6">
    <w:abstractNumId w:val="14"/>
  </w:num>
  <w:num w:numId="7">
    <w:abstractNumId w:val="19"/>
  </w:num>
  <w:num w:numId="8">
    <w:abstractNumId w:val="22"/>
  </w:num>
  <w:num w:numId="9">
    <w:abstractNumId w:val="17"/>
  </w:num>
  <w:num w:numId="10">
    <w:abstractNumId w:val="20"/>
  </w:num>
  <w:num w:numId="11">
    <w:abstractNumId w:val="46"/>
  </w:num>
  <w:num w:numId="12">
    <w:abstractNumId w:val="18"/>
  </w:num>
  <w:num w:numId="13">
    <w:abstractNumId w:val="27"/>
  </w:num>
  <w:num w:numId="14">
    <w:abstractNumId w:val="9"/>
  </w:num>
  <w:num w:numId="15">
    <w:abstractNumId w:val="12"/>
  </w:num>
  <w:num w:numId="16">
    <w:abstractNumId w:val="6"/>
  </w:num>
  <w:num w:numId="17">
    <w:abstractNumId w:val="16"/>
  </w:num>
  <w:num w:numId="18">
    <w:abstractNumId w:val="34"/>
  </w:num>
  <w:num w:numId="19">
    <w:abstractNumId w:val="30"/>
  </w:num>
  <w:num w:numId="20">
    <w:abstractNumId w:val="36"/>
  </w:num>
  <w:num w:numId="21">
    <w:abstractNumId w:val="25"/>
  </w:num>
  <w:num w:numId="22">
    <w:abstractNumId w:val="21"/>
  </w:num>
  <w:num w:numId="23">
    <w:abstractNumId w:val="8"/>
  </w:num>
  <w:num w:numId="24">
    <w:abstractNumId w:val="7"/>
  </w:num>
  <w:num w:numId="25">
    <w:abstractNumId w:val="32"/>
  </w:num>
  <w:num w:numId="26">
    <w:abstractNumId w:val="24"/>
  </w:num>
  <w:num w:numId="27">
    <w:abstractNumId w:val="1"/>
  </w:num>
  <w:num w:numId="28">
    <w:abstractNumId w:val="0"/>
  </w:num>
  <w:num w:numId="29">
    <w:abstractNumId w:val="3"/>
  </w:num>
  <w:num w:numId="30">
    <w:abstractNumId w:val="5"/>
  </w:num>
  <w:num w:numId="31">
    <w:abstractNumId w:val="15"/>
  </w:num>
  <w:num w:numId="32">
    <w:abstractNumId w:val="43"/>
  </w:num>
  <w:num w:numId="33">
    <w:abstractNumId w:val="13"/>
  </w:num>
  <w:num w:numId="34">
    <w:abstractNumId w:val="11"/>
  </w:num>
  <w:num w:numId="35">
    <w:abstractNumId w:val="38"/>
  </w:num>
  <w:num w:numId="36">
    <w:abstractNumId w:val="28"/>
  </w:num>
  <w:num w:numId="37">
    <w:abstractNumId w:val="44"/>
  </w:num>
  <w:num w:numId="38">
    <w:abstractNumId w:val="23"/>
  </w:num>
  <w:num w:numId="39">
    <w:abstractNumId w:val="35"/>
  </w:num>
  <w:num w:numId="40">
    <w:abstractNumId w:val="41"/>
  </w:num>
  <w:num w:numId="41">
    <w:abstractNumId w:val="37"/>
  </w:num>
  <w:num w:numId="42">
    <w:abstractNumId w:val="40"/>
  </w:num>
  <w:num w:numId="43">
    <w:abstractNumId w:val="29"/>
  </w:num>
  <w:num w:numId="44">
    <w:abstractNumId w:val="45"/>
  </w:num>
  <w:num w:numId="45">
    <w:abstractNumId w:val="31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9"/>
    <w:rsid w:val="001C5619"/>
    <w:rsid w:val="001E36B9"/>
    <w:rsid w:val="002D252E"/>
    <w:rsid w:val="004A06BD"/>
    <w:rsid w:val="005E2272"/>
    <w:rsid w:val="007404AD"/>
    <w:rsid w:val="009208C7"/>
    <w:rsid w:val="00940050"/>
    <w:rsid w:val="00B9641D"/>
    <w:rsid w:val="00C6720E"/>
    <w:rsid w:val="00C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FBDA-20D2-4A38-9A6B-C03211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 Знак10 Знак"/>
    <w:basedOn w:val="a"/>
    <w:next w:val="a"/>
    <w:link w:val="10"/>
    <w:uiPriority w:val="9"/>
    <w:qFormat/>
    <w:rsid w:val="002D252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2D252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2D252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"/>
    <w:next w:val="a"/>
    <w:link w:val="40"/>
    <w:uiPriority w:val="9"/>
    <w:qFormat/>
    <w:rsid w:val="002D252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2D252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2D25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2D252E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2D25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2D252E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0"/>
    <w:link w:val="1"/>
    <w:uiPriority w:val="9"/>
    <w:rsid w:val="002D25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 Знак9 Знак Знак"/>
    <w:basedOn w:val="a0"/>
    <w:link w:val="2"/>
    <w:rsid w:val="002D252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 Знак8 Знак Знак"/>
    <w:basedOn w:val="a0"/>
    <w:link w:val="3"/>
    <w:rsid w:val="002D25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 Знак7 Знак Знак,Знак7 Знак Знак"/>
    <w:basedOn w:val="a0"/>
    <w:link w:val="4"/>
    <w:uiPriority w:val="9"/>
    <w:rsid w:val="002D252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 Знак6 Знак Знак"/>
    <w:basedOn w:val="a0"/>
    <w:link w:val="5"/>
    <w:rsid w:val="002D25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 Знак5 Знак Знак"/>
    <w:basedOn w:val="a0"/>
    <w:link w:val="6"/>
    <w:rsid w:val="002D252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aliases w:val=" Знак4 Знак Знак"/>
    <w:basedOn w:val="a0"/>
    <w:link w:val="7"/>
    <w:rsid w:val="002D252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80">
    <w:name w:val="Заголовок 8 Знак"/>
    <w:aliases w:val=" Знак3 Знак Знак"/>
    <w:basedOn w:val="a0"/>
    <w:link w:val="8"/>
    <w:rsid w:val="002D252E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  <w:style w:type="character" w:customStyle="1" w:styleId="90">
    <w:name w:val="Заголовок 9 Знак"/>
    <w:aliases w:val=" Знак2 Знак Знак"/>
    <w:basedOn w:val="a0"/>
    <w:link w:val="9"/>
    <w:rsid w:val="002D252E"/>
    <w:rPr>
      <w:rFonts w:ascii="Cambria" w:eastAsia="Times New Roman" w:hAnsi="Cambria" w:cs="Times New Roman"/>
      <w:lang w:val="x-none" w:eastAsia="x-none"/>
    </w:rPr>
  </w:style>
  <w:style w:type="table" w:styleId="a3">
    <w:name w:val="Table Grid"/>
    <w:basedOn w:val="a1"/>
    <w:uiPriority w:val="59"/>
    <w:rsid w:val="002D252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52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2D252E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2D2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D252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8">
    <w:name w:val="page number"/>
    <w:basedOn w:val="a0"/>
    <w:rsid w:val="002D252E"/>
  </w:style>
  <w:style w:type="paragraph" w:styleId="a9">
    <w:name w:val="footnote text"/>
    <w:basedOn w:val="a"/>
    <w:link w:val="aa"/>
    <w:uiPriority w:val="99"/>
    <w:rsid w:val="002D25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D2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D252E"/>
    <w:rPr>
      <w:vertAlign w:val="superscript"/>
    </w:rPr>
  </w:style>
  <w:style w:type="paragraph" w:styleId="21">
    <w:name w:val="Body Text 2"/>
    <w:basedOn w:val="a"/>
    <w:link w:val="22"/>
    <w:rsid w:val="002D25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D252E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customStyle="1" w:styleId="FR1">
    <w:name w:val="FR1"/>
    <w:rsid w:val="002D252E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c">
    <w:name w:val="endnote reference"/>
    <w:rsid w:val="002D252E"/>
    <w:rPr>
      <w:vertAlign w:val="superscript"/>
    </w:rPr>
  </w:style>
  <w:style w:type="paragraph" w:customStyle="1" w:styleId="ad">
    <w:basedOn w:val="a"/>
    <w:next w:val="a"/>
    <w:qFormat/>
    <w:rsid w:val="002D252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Заголовок Знак1"/>
    <w:link w:val="ae"/>
    <w:rsid w:val="002D252E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2D252E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basedOn w:val="a0"/>
    <w:link w:val="af"/>
    <w:rsid w:val="002D252E"/>
    <w:rPr>
      <w:rFonts w:ascii="Cambria" w:eastAsia="Times New Roman" w:hAnsi="Cambria" w:cs="Times New Roman"/>
      <w:sz w:val="26"/>
      <w:szCs w:val="24"/>
      <w:lang w:val="x-none" w:eastAsia="x-none"/>
    </w:rPr>
  </w:style>
  <w:style w:type="paragraph" w:customStyle="1" w:styleId="23">
    <w:name w:val="Цитата 2 Знак Знак"/>
    <w:basedOn w:val="a"/>
    <w:next w:val="a"/>
    <w:link w:val="24"/>
    <w:qFormat/>
    <w:rsid w:val="002D252E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2D252E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2D252E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2D252E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character" w:styleId="af3">
    <w:name w:val="Strong"/>
    <w:qFormat/>
    <w:rsid w:val="002D252E"/>
    <w:rPr>
      <w:b/>
      <w:bCs/>
    </w:rPr>
  </w:style>
  <w:style w:type="paragraph" w:styleId="af4">
    <w:name w:val="List Paragraph"/>
    <w:basedOn w:val="a"/>
    <w:uiPriority w:val="34"/>
    <w:qFormat/>
    <w:rsid w:val="002D25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2D252E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2D2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basedOn w:val="a0"/>
    <w:link w:val="af6"/>
    <w:rsid w:val="002D252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ConsPlusTitle">
    <w:name w:val="ConsPlusTitle"/>
    <w:rsid w:val="002D252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2D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D2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2D252E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basedOn w:val="a0"/>
    <w:link w:val="25"/>
    <w:rsid w:val="002D252E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styleId="af8">
    <w:name w:val="Intense Quote"/>
    <w:basedOn w:val="a"/>
    <w:next w:val="a"/>
    <w:link w:val="af9"/>
    <w:qFormat/>
    <w:rsid w:val="002D252E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basedOn w:val="a0"/>
    <w:link w:val="af8"/>
    <w:rsid w:val="002D252E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paragraph" w:customStyle="1" w:styleId="12">
    <w:name w:val="Заголовок оглавления1"/>
    <w:basedOn w:val="1"/>
    <w:next w:val="a"/>
    <w:rsid w:val="002D25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2D252E"/>
    <w:rPr>
      <w:color w:val="0000FF"/>
      <w:u w:val="single"/>
    </w:rPr>
  </w:style>
  <w:style w:type="paragraph" w:styleId="afb">
    <w:name w:val="Body Text Indent"/>
    <w:basedOn w:val="a"/>
    <w:link w:val="afc"/>
    <w:rsid w:val="002D252E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2D252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2D252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e">
    <w:name w:val="т_тит_лист"/>
    <w:basedOn w:val="ae"/>
    <w:uiPriority w:val="99"/>
    <w:rsid w:val="002D252E"/>
    <w:pPr>
      <w:autoSpaceDE w:val="0"/>
      <w:autoSpaceDN w:val="0"/>
      <w:contextualSpacing w:val="0"/>
      <w:jc w:val="center"/>
    </w:pPr>
    <w:rPr>
      <w:rFonts w:ascii="Times New Roman" w:hAnsi="Times New Roman"/>
      <w:b w:val="0"/>
      <w:bCs w:val="0"/>
      <w:kern w:val="0"/>
      <w:sz w:val="28"/>
      <w:szCs w:val="28"/>
      <w:lang w:val="x-none" w:eastAsia="x-none"/>
    </w:rPr>
  </w:style>
  <w:style w:type="paragraph" w:customStyle="1" w:styleId="WW-">
    <w:name w:val="WW-Базовый"/>
    <w:rsid w:val="002D252E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2D252E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2D252E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2D252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2D25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2D252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2D252E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2D252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basedOn w:val="a0"/>
    <w:link w:val="aff0"/>
    <w:rsid w:val="002D2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D252E"/>
  </w:style>
  <w:style w:type="character" w:customStyle="1" w:styleId="apple-style-span">
    <w:name w:val="apple-style-span"/>
    <w:rsid w:val="002D252E"/>
  </w:style>
  <w:style w:type="paragraph" w:styleId="aff2">
    <w:name w:val="Normal (Web)"/>
    <w:basedOn w:val="a"/>
    <w:rsid w:val="002D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2D252E"/>
  </w:style>
  <w:style w:type="paragraph" w:customStyle="1" w:styleId="14">
    <w:name w:val="Заголовок оглавления1"/>
    <w:basedOn w:val="1"/>
    <w:next w:val="a"/>
    <w:rsid w:val="002D25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2D25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2D252E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5"/>
    <w:rsid w:val="002D252E"/>
    <w:rPr>
      <w:sz w:val="21"/>
      <w:szCs w:val="21"/>
    </w:rPr>
  </w:style>
  <w:style w:type="paragraph" w:customStyle="1" w:styleId="15">
    <w:name w:val="Основной текст1"/>
    <w:basedOn w:val="a"/>
    <w:link w:val="aff4"/>
    <w:rsid w:val="002D252E"/>
    <w:pPr>
      <w:spacing w:after="0" w:line="259" w:lineRule="exac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8">
    <w:name w:val="Заголовок №2_"/>
    <w:basedOn w:val="a0"/>
    <w:link w:val="29"/>
    <w:rsid w:val="002D252E"/>
  </w:style>
  <w:style w:type="paragraph" w:customStyle="1" w:styleId="29">
    <w:name w:val="Заголовок №2"/>
    <w:basedOn w:val="a"/>
    <w:link w:val="28"/>
    <w:rsid w:val="002D252E"/>
    <w:pPr>
      <w:spacing w:before="360" w:after="0" w:line="259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6">
    <w:name w:val="Заголовок №1_"/>
    <w:link w:val="17"/>
    <w:rsid w:val="002D252E"/>
    <w:rPr>
      <w:sz w:val="25"/>
      <w:szCs w:val="25"/>
    </w:rPr>
  </w:style>
  <w:style w:type="paragraph" w:customStyle="1" w:styleId="17">
    <w:name w:val="Заголовок №1"/>
    <w:basedOn w:val="a"/>
    <w:link w:val="16"/>
    <w:rsid w:val="002D252E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a">
    <w:name w:val="Основной текст (2)_"/>
    <w:basedOn w:val="a0"/>
    <w:link w:val="2b"/>
    <w:rsid w:val="002D252E"/>
  </w:style>
  <w:style w:type="paragraph" w:customStyle="1" w:styleId="2b">
    <w:name w:val="Основной текст (2)"/>
    <w:basedOn w:val="a"/>
    <w:link w:val="2a"/>
    <w:rsid w:val="002D252E"/>
    <w:pPr>
      <w:spacing w:after="0" w:line="259" w:lineRule="exact"/>
    </w:pPr>
    <w:rPr>
      <w:rFonts w:asciiTheme="minorHAnsi" w:eastAsiaTheme="minorHAnsi" w:hAnsiTheme="minorHAnsi" w:cstheme="minorBidi"/>
    </w:rPr>
  </w:style>
  <w:style w:type="paragraph" w:styleId="aff5">
    <w:name w:val="endnote text"/>
    <w:basedOn w:val="a"/>
    <w:link w:val="aff6"/>
    <w:rsid w:val="002D252E"/>
    <w:rPr>
      <w:sz w:val="20"/>
      <w:szCs w:val="20"/>
      <w:lang w:val="x-none"/>
    </w:rPr>
  </w:style>
  <w:style w:type="character" w:customStyle="1" w:styleId="aff6">
    <w:name w:val="Текст концевой сноски Знак"/>
    <w:basedOn w:val="a0"/>
    <w:link w:val="aff5"/>
    <w:rsid w:val="002D252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7">
    <w:name w:val="Оглавление_"/>
    <w:link w:val="aff8"/>
    <w:rsid w:val="002D252E"/>
    <w:rPr>
      <w:shd w:val="clear" w:color="auto" w:fill="FFFFFF"/>
    </w:rPr>
  </w:style>
  <w:style w:type="paragraph" w:customStyle="1" w:styleId="aff8">
    <w:name w:val="Оглавление"/>
    <w:basedOn w:val="a"/>
    <w:link w:val="aff7"/>
    <w:rsid w:val="002D252E"/>
    <w:pPr>
      <w:widowControl w:val="0"/>
      <w:shd w:val="clear" w:color="auto" w:fill="FFFFFF"/>
      <w:spacing w:before="180" w:after="0" w:line="274" w:lineRule="exact"/>
      <w:ind w:hanging="340"/>
      <w:jc w:val="both"/>
    </w:pPr>
    <w:rPr>
      <w:rFonts w:asciiTheme="minorHAnsi" w:eastAsiaTheme="minorHAnsi" w:hAnsiTheme="minorHAnsi" w:cstheme="minorBidi"/>
    </w:rPr>
  </w:style>
  <w:style w:type="character" w:customStyle="1" w:styleId="b-forumtext">
    <w:name w:val="b-forum__text"/>
    <w:rsid w:val="002D252E"/>
    <w:rPr>
      <w:rFonts w:cs="Times New Roman"/>
    </w:rPr>
  </w:style>
  <w:style w:type="character" w:customStyle="1" w:styleId="ucoz-forum-post">
    <w:name w:val="ucoz-forum-post"/>
    <w:rsid w:val="002D252E"/>
    <w:rPr>
      <w:rFonts w:cs="Times New Roman"/>
    </w:rPr>
  </w:style>
  <w:style w:type="paragraph" w:customStyle="1" w:styleId="s161">
    <w:name w:val="s_161"/>
    <w:basedOn w:val="a"/>
    <w:rsid w:val="002D25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2D252E"/>
    <w:pPr>
      <w:spacing w:after="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ff9">
    <w:name w:val="Заголовок Знак"/>
    <w:basedOn w:val="a0"/>
    <w:uiPriority w:val="10"/>
    <w:rsid w:val="002D25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2018-03-19T11:11:00Z</dcterms:created>
  <dcterms:modified xsi:type="dcterms:W3CDTF">2021-02-21T18:39:00Z</dcterms:modified>
</cp:coreProperties>
</file>