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ФАРМАЦЕВТИЧЕСКОЙ ТЕХНОЛОГИИ 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0" w:line="240" w:lineRule="auto"/>
        <w:ind w:right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состояние и тенденции развития фармацевтической технологии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Вспомогательные вещества и их использование в фармации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Лекарственные формы с жидкой дисперсионной средой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Биофармацевтические аспекты изготовления лекарственных форм, требующих асептических условий изготовления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Технологические и биофармацевтические аспекты лекарственных форм, обладающих упруго-вязко-пластичными свойствами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составов и технология изготовления лечебно-косметических препаратов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Биологические и фармацевтические аспекты возрастных лекарственных препаратов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4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Технологические особенности и терапевтическая эффективность фитопрепаратов и гомеопатических препаратов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5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5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CD482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+HbtXbu9ATPxYlAjvVdkgC0Gg==">AMUW2mV/hB2n9u5f1B308d9xBDG7sHBxw44U0XndI2WcvWMtKCu/mY2xjYF44MeRsIZoJtug5q1Hc3e8kDyt9bD1VKu1NmTp7wzclClujuNs3KN2fd8TX1E=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