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«ОРГАНИЗАЦИЯ ЗДРАВООХРАНЕНИЯ ДЛЯ РУКОВОДИТЕЛЕЙ МЕДИЦИНСКИХ ОРГАНИЗАЦИЙ. НОВЫЕ ТРЕБОВАНИЯ ЗАКОНОДАТЕЛЬСТВА»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оказания первичной медико-санитарной помощи населению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Стандартизация в сфере здравоохранения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контроля в сфере охраны здоровья. Государственный и ведомственный контроль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spacing w:line="291.99999999999994" w:lineRule="auto"/>
              <w:ind w:right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character" w:styleId="HTML">
    <w:name w:val="HTML Acronym"/>
    <w:uiPriority w:val="99"/>
    <w:semiHidden w:val="1"/>
    <w:unhideWhenUsed w:val="1"/>
    <w:rsid w:val="0017785D"/>
  </w:style>
  <w:style w:type="paragraph" w:styleId="c3" w:customStyle="1">
    <w:name w:val="c3"/>
    <w:basedOn w:val="a"/>
    <w:rsid w:val="004A355C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zFSQtsxq8V7d6tmQNET1qwoZg==">AMUW2mVP/4/5IPh2olQBKfQp123BdfobzcaNqPcB7kdYy7AB3Y9qSnryi9XvUNI5sUw7FtbJYvauN1+KMyQbHy+9LsxWkreFBAhUx4y5piiXKo1YHg+UEs4=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