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«СТОМАТОЛОГИЯ ДЕТСКАЯ. АКТУАЛЬНЫЕ ВОПРОСЫ»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стоматологической помощи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терапевтическая стоматология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Ортодонтия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хирургическая стоматология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стоматологических заболеваний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ПК-4 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23ga4JQvgwSP2y4ZczqEJJFtQ==">AMUW2mUN2eIl6yr7TiCl3M2zQZ5SwCYZQk0dtjtD6bScgqzvkCkYYs0ap74V/Vv1tbUJseEm4n/b1OLjyKkQkpdc0E3RreXVTv2+mJrbmWfpHfC9Q2sr5PU=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