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«БОЛЕВЫЕ СИНДРОМЫ В НЕВРОЛОГИИ»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760"/>
        <w:gridCol w:w="850"/>
        <w:gridCol w:w="984"/>
        <w:gridCol w:w="984"/>
        <w:gridCol w:w="1124"/>
        <w:gridCol w:w="1151"/>
        <w:tblGridChange w:id="0">
          <w:tblGrid>
            <w:gridCol w:w="486"/>
            <w:gridCol w:w="3760"/>
            <w:gridCol w:w="850"/>
            <w:gridCol w:w="984"/>
            <w:gridCol w:w="984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F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10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механизмы формирования боли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Патофизиология острой и хронической боли. Принципы диагностики и лечения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боли в спине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и лечение нейропатической боли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Боль смешанного типа. Значение для клинической практики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диагностики и лечения головной боли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pos="994"/>
        </w:tabs>
        <w:spacing w:line="276" w:lineRule="auto"/>
        <w:ind w:left="0" w:right="22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table" w:styleId="20" w:customStyle="1">
    <w:name w:val="Сетка таблицы2"/>
    <w:basedOn w:val="a1"/>
    <w:next w:val="a5"/>
    <w:uiPriority w:val="39"/>
    <w:rsid w:val="000316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A5NtzDSchy1VLizdRy8Ifqb7w==">AMUW2mUXImK8/+kF8TFBQYULUGSRKNEPSENmUVmE+w38hIaREG/jZP87VzKPCG2tf55lL8n7u/x9qeZz0T/B/2nLB4Hw55StU8JwAmDaJRHdbBX6WOGOaVI=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